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5C" w:rsidRPr="007A395C" w:rsidRDefault="007A395C" w:rsidP="007A395C">
      <w:pPr>
        <w:jc w:val="both"/>
        <w:rPr>
          <w:rFonts w:ascii="Calibri" w:hAnsi="Calibri"/>
          <w:sz w:val="28"/>
          <w:szCs w:val="28"/>
        </w:rPr>
      </w:pPr>
      <w:bookmarkStart w:id="0" w:name="_GoBack"/>
      <w:r w:rsidRPr="007A395C">
        <w:rPr>
          <w:rFonts w:ascii="Calibri" w:hAnsi="Calibri" w:cs="Arial"/>
          <w:b/>
          <w:sz w:val="28"/>
          <w:szCs w:val="28"/>
        </w:rPr>
        <w:t xml:space="preserve">Dra. María Rosa Fernández </w:t>
      </w:r>
      <w:proofErr w:type="spellStart"/>
      <w:r w:rsidRPr="007A395C">
        <w:rPr>
          <w:rFonts w:ascii="Calibri" w:hAnsi="Calibri" w:cs="Arial"/>
          <w:b/>
          <w:sz w:val="28"/>
          <w:szCs w:val="28"/>
        </w:rPr>
        <w:t>Lemoine</w:t>
      </w:r>
      <w:proofErr w:type="spellEnd"/>
      <w:r w:rsidRPr="007A395C">
        <w:rPr>
          <w:rFonts w:ascii="Calibri" w:hAnsi="Calibri" w:cs="Arial"/>
          <w:b/>
          <w:sz w:val="28"/>
          <w:szCs w:val="28"/>
        </w:rPr>
        <w:t>.</w:t>
      </w:r>
      <w:r w:rsidRPr="007A395C">
        <w:rPr>
          <w:rFonts w:ascii="Calibri" w:hAnsi="Calibri" w:cs="Arial"/>
          <w:sz w:val="28"/>
          <w:szCs w:val="28"/>
        </w:rPr>
        <w:t> Abogada (UBA). Mediadora. Especializada en Mediación y otras formas de Resolución de Conflictos- Universidad de California, Santa Bárbara, EEUU.  </w:t>
      </w:r>
      <w:proofErr w:type="spellStart"/>
      <w:r w:rsidRPr="007A395C">
        <w:rPr>
          <w:rFonts w:ascii="Calibri" w:hAnsi="Calibri" w:cs="Arial"/>
          <w:i/>
          <w:iCs/>
          <w:sz w:val="28"/>
          <w:szCs w:val="28"/>
        </w:rPr>
        <w:t>Trainer</w:t>
      </w:r>
      <w:proofErr w:type="spellEnd"/>
      <w:r w:rsidRPr="007A395C">
        <w:rPr>
          <w:rFonts w:ascii="Calibri" w:hAnsi="Calibri" w:cs="Arial"/>
          <w:sz w:val="28"/>
          <w:szCs w:val="28"/>
        </w:rPr>
        <w:t xml:space="preserve"> en PNL (TMP -2001</w:t>
      </w:r>
      <w:proofErr w:type="gramStart"/>
      <w:r w:rsidRPr="007A395C">
        <w:rPr>
          <w:rFonts w:ascii="Calibri" w:hAnsi="Calibri" w:cs="Arial"/>
          <w:sz w:val="28"/>
          <w:szCs w:val="28"/>
        </w:rPr>
        <w:t>-)</w:t>
      </w:r>
      <w:proofErr w:type="gramEnd"/>
      <w:r w:rsidRPr="007A395C">
        <w:rPr>
          <w:rFonts w:ascii="Calibri" w:hAnsi="Calibri" w:cs="Arial"/>
          <w:sz w:val="28"/>
          <w:szCs w:val="28"/>
        </w:rPr>
        <w:t xml:space="preserve">. Coach (Certificación Internacional -ICC 2008). Profesora de grado Departamento Filosofía del Derecho (UBA 1984-2000). Profesora de la Escuela Judicial Consejo de la Magistratura de la Nación.  Docente del Programa de Actualización en Negociación y Resolución de Conflictos Departamento de Posgrado Facultad de Derecho (UBA). Docente Escuela de Mediación CPACF, AABA y otras instituciones de CABA y del interior del país. Mediadora y Árbitro (por concurso) de la Defensoría del Pueblo (CABA). Coautora de </w:t>
      </w:r>
      <w:r w:rsidRPr="007A395C">
        <w:rPr>
          <w:rFonts w:ascii="Calibri" w:hAnsi="Calibri" w:cs="Arial"/>
          <w:sz w:val="28"/>
          <w:szCs w:val="28"/>
          <w:u w:val="single"/>
        </w:rPr>
        <w:t>“Práctica de la Mediación. Ley 26589, su reglamentación, comentadas, anotadas y concordadas. Jurisprudencia aplicable”</w:t>
      </w:r>
      <w:r w:rsidRPr="007A395C">
        <w:rPr>
          <w:rFonts w:ascii="Calibri" w:hAnsi="Calibri" w:cs="Arial"/>
          <w:sz w:val="28"/>
          <w:szCs w:val="28"/>
        </w:rPr>
        <w:t xml:space="preserve">. 2° edición actualizada y ampliada Ed. </w:t>
      </w:r>
      <w:proofErr w:type="spellStart"/>
      <w:r w:rsidRPr="007A395C">
        <w:rPr>
          <w:rFonts w:ascii="Calibri" w:hAnsi="Calibri" w:cs="Arial"/>
          <w:sz w:val="28"/>
          <w:szCs w:val="28"/>
        </w:rPr>
        <w:t>Astrea</w:t>
      </w:r>
      <w:proofErr w:type="spellEnd"/>
      <w:r w:rsidRPr="007A395C">
        <w:rPr>
          <w:rFonts w:ascii="Calibri" w:hAnsi="Calibri" w:cs="Arial"/>
          <w:sz w:val="28"/>
          <w:szCs w:val="28"/>
        </w:rPr>
        <w:t xml:space="preserve">. 2018. Autora de publicaciones en revistas especializadas. </w:t>
      </w:r>
      <w:r w:rsidRPr="007A395C">
        <w:rPr>
          <w:rFonts w:ascii="Calibri" w:hAnsi="Calibri"/>
          <w:sz w:val="28"/>
          <w:szCs w:val="28"/>
        </w:rPr>
        <w:t>Miembro  del Seminario Permanente de Investigación en Derecho de la Vejez" del Instituto </w:t>
      </w:r>
      <w:proofErr w:type="spellStart"/>
      <w:r w:rsidRPr="007A395C">
        <w:rPr>
          <w:rFonts w:ascii="Calibri" w:hAnsi="Calibri"/>
          <w:sz w:val="28"/>
          <w:szCs w:val="28"/>
        </w:rPr>
        <w:t>Gioja</w:t>
      </w:r>
      <w:proofErr w:type="spellEnd"/>
      <w:r w:rsidRPr="007A395C">
        <w:rPr>
          <w:rFonts w:ascii="Calibri" w:hAnsi="Calibri"/>
          <w:sz w:val="28"/>
          <w:szCs w:val="28"/>
        </w:rPr>
        <w:t>. UBA.</w:t>
      </w:r>
    </w:p>
    <w:bookmarkEnd w:id="0"/>
    <w:p w:rsidR="00853058" w:rsidRDefault="00853058"/>
    <w:sectPr w:rsidR="00853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5C"/>
    <w:rsid w:val="007A395C"/>
    <w:rsid w:val="008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7A395C"/>
    <w:pPr>
      <w:autoSpaceDE/>
      <w:autoSpaceDN/>
    </w:pPr>
    <w:rPr>
      <w:rFonts w:ascii="Verdana" w:eastAsia="Calibri" w:hAnsi="Verdana" w:cs="Consolas"/>
      <w:b/>
      <w:i/>
      <w:sz w:val="21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A395C"/>
    <w:rPr>
      <w:rFonts w:ascii="Verdana" w:eastAsia="Calibri" w:hAnsi="Verdana" w:cs="Consolas"/>
      <w:b/>
      <w:i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9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7A395C"/>
    <w:pPr>
      <w:autoSpaceDE/>
      <w:autoSpaceDN/>
    </w:pPr>
    <w:rPr>
      <w:rFonts w:ascii="Verdana" w:eastAsia="Calibri" w:hAnsi="Verdana" w:cs="Consolas"/>
      <w:b/>
      <w:i/>
      <w:sz w:val="21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A395C"/>
    <w:rPr>
      <w:rFonts w:ascii="Verdana" w:eastAsia="Calibri" w:hAnsi="Verdana" w:cs="Consolas"/>
      <w:b/>
      <w:i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Zorrilla;María Gabriela</dc:creator>
  <cp:lastModifiedBy>Zorrilla; María Gabriela</cp:lastModifiedBy>
  <cp:revision>1</cp:revision>
  <dcterms:created xsi:type="dcterms:W3CDTF">2024-02-23T17:51:00Z</dcterms:created>
  <dcterms:modified xsi:type="dcterms:W3CDTF">2024-02-23T17:51:00Z</dcterms:modified>
</cp:coreProperties>
</file>